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587</w:t>
      </w:r>
    </w:p>
    <w:p>
      <w:r>
        <w:t>Bundesgericht (BGE), 2015-10-19, DE</w:t>
      </w:r>
    </w:p>
    <w:p>
      <w:r>
        <w:rPr>
          <w:b/>
        </w:rPr>
        <w:t xml:space="preserve">Quelle: </w:t>
      </w:r>
      <w:r>
        <w:t>https://mcp.opencaselaw.ch/entscheid/bge_141 III 587</w:t>
      </w:r>
    </w:p>
    <w:p>
      <w:r>
        <w:t>FR: ATF 141 III 587</w:t>
      </w:r>
    </w:p>
    <w:p>
      <w:r>
        <w:t>IT: DTF 141 III 587</w:t>
      </w:r>
    </w:p>
    <w:p>
      <w:pPr>
        <w:pStyle w:val="Heading2"/>
      </w:pPr>
      <w:r>
        <w:t>Regeste</w:t>
      </w:r>
    </w:p>
    <w:p>
      <w:r>
        <w:t>Regeste Art. 4 und 17 SchKG; Rechtshilfe zwischen Betreibungs- und Konkursorganen, Beschwerdelegitimation des requirierten Amtes. Den Konkursämtern fehlt das Recht zur Weiterziehung von Beschwerdeentscheiden, durch welche ihnen durch die Aufsichtsbehörde Amtspflichten - im konkreten Fall die Pflicht zur Rechtshilfe - auferlegt werden (E. 2).</w:t>
      </w:r>
    </w:p>
    <w:p>
      <w:pPr>
        <w:pStyle w:val="Heading2"/>
      </w:pPr>
      <w:r>
        <w:t>Erwägungen</w:t>
      </w:r>
    </w:p>
    <w:p>
      <w:r>
        <w:rPr>
          <w:b/>
        </w:rPr>
        <w:t>E. 2</w:t>
      </w:r>
    </w:p>
    <w:p>
      <w:r>
        <w:t>Anlass zur vorliegenden Beschwerde gibt das Gesuch des Konkursamtes am Konkursort, welches vom Konkursamt in einem anderen Amtskreis verlangt, die Einvernahme des Schuldners anlässlich der Inventaraufnahme durchzuführen. Das Konkursamt Basel-Stadt bringt neben der Rüge der Gehörsverletzung vor, dass das Konkursamt Aargau, Dienststelle Brugg, zur Beschwerde gemäss Art. 18 SchKG nicht legitimiert sei, um die von der unteren Aufsichtsbehörde angeordnete Ausführung des Rechtshilfeauftrages anzufechten. In der Sache macht das Konkursamt Basel-Stadt im Wesentlichen geltend, dass die Rechtshilfe nach Art. 4 Abs. 1 SchKG eine Pflicht und auf Verlangen zu leisten sei.</w:t>
      </w:r>
    </w:p>
    <w:p>
      <w:r>
        <w:rPr>
          <w:b/>
        </w:rPr>
        <w:t>E. 2.1</w:t>
      </w:r>
    </w:p>
    <w:p>
      <w:r>
        <w:t>Das Bundesgericht hat die Legitimation des Konkursamtes zur Beschwerdeführung im Fall, dass es im Rechtshilfedienst handelt, geklärt ( BGE 47 III 21 S. 22; 48 III 182 S. 183). Vorliegend ist die Voraussetzung, dass das Konkursamt Aargau, Dienststelle Brugg, die Interessen der Masse und damit solche der Gesamtheit der Gläubiger wahrzunehmen hat, nicht erfüllt. Das betreffende Konkursamt will mit seiner Beschwerde an die obere Aufsichtsbehörde lediglich feststellen lassen, dass es in seiner Eigenschaft als mit Rechtshilfe beauftragtes Amt zur Verweigerung der Rechtshilfe berechtigt gewesen sei, und dass die untere Aufsichtsbehörde in seinem Verhalten zu Unrecht einen Verstoss gegen Art. 4 SchKG erblickt habe. In einer Frage solcher Art ist das Konkursamt den Aufsichtsbehörden untergeordnet und kann ihre Anordnungen - wie das Betreibungsamt - nicht weiterziehen ( BGE 47 III 21 S. 22; 48 III 182 S. 183; Urteil 5A_688/2012 vom 29. April 2013 E. 2.3).</w:t>
      </w:r>
    </w:p>
    <w:p>
      <w:r>
        <w:rPr>
          <w:b/>
        </w:rPr>
        <w:t>E. 2.2</w:t>
      </w:r>
    </w:p>
    <w:p>
      <w:r>
        <w:t>Mit den dargelegten Regeln ist nicht vereinbar, wenn die Vorinstanz auf die Beschwerde des Konkursamtes Aargau, Dienststelle Brugg, gegen den Entscheid der unteren Aufsichtsbehörde eingetreten ist. Das Eingreifen der oberen Aufsichtsbehörde von Amtes wegen, indem sie den erstinstanzlichen Entscheid trotz unzulässiger betreibungsrechtlicher Beschwerde aufgehoben hat, wird im angefochtenen Entscheid nicht gerechtfertigt.</w:t>
      </w:r>
    </w:p>
    <w:p>
      <w:r>
        <w:rPr>
          <w:b/>
        </w:rPr>
        <w:t>E. 2.3</w:t>
      </w:r>
    </w:p>
    <w:p>
      <w:r>
        <w:t>Nach dem Dargelegten wird das Eintreten der Vorinstanz auf die Beschwerde ( Art. 18 SchKG ) zu Recht gerügt und ist die vorliegende Beschwerde begründet. Bei diesem Ergebnis sind die Rüge einer Gehörsverletzung im vorinstanzlichen Verfahren sowie die weiteren Vorbringen nicht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